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DF" w:rsidRDefault="007A44DF" w:rsidP="007A44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246"/>
      </w:tblGrid>
      <w:tr w:rsidR="00A50790" w:rsidRPr="00DE5B35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IDENTIFICATION</w:t>
            </w:r>
          </w:p>
        </w:tc>
        <w:tc>
          <w:tcPr>
            <w:tcW w:w="7246" w:type="dxa"/>
            <w:vAlign w:val="center"/>
          </w:tcPr>
          <w:p w:rsidR="00A50790" w:rsidRPr="008C76ED" w:rsidRDefault="00A50790" w:rsidP="008C76ED">
            <w:pPr>
              <w:spacing w:after="160" w:line="259" w:lineRule="auto"/>
              <w:rPr>
                <w:rFonts w:ascii="Helvetica" w:hAnsi="Helvetica" w:cs="Helvetica"/>
              </w:rPr>
            </w:pPr>
            <w:r w:rsidRPr="008C76ED">
              <w:rPr>
                <w:rFonts w:ascii="Helvetica" w:hAnsi="Helvetica" w:cs="Helvetica"/>
              </w:rPr>
              <w:t>Gilet haute visibilité « </w:t>
            </w:r>
            <w:r w:rsidR="008C76ED">
              <w:rPr>
                <w:rFonts w:ascii="Helvetica" w:hAnsi="Helvetica" w:cs="Helvetica"/>
              </w:rPr>
              <w:t>OFFICIER CAI</w:t>
            </w:r>
            <w:r w:rsidRPr="008C76ED">
              <w:rPr>
                <w:rFonts w:ascii="Helvetica" w:hAnsi="Helvetica" w:cs="Helvetica"/>
              </w:rPr>
              <w:t> »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LOCALISATION</w:t>
            </w:r>
          </w:p>
        </w:tc>
        <w:tc>
          <w:tcPr>
            <w:tcW w:w="7246" w:type="dxa"/>
            <w:vAlign w:val="center"/>
          </w:tcPr>
          <w:p w:rsidR="00A50790" w:rsidRPr="008C76ED" w:rsidRDefault="008C76ED" w:rsidP="007B0FDB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CAI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AUTORITE</w:t>
            </w:r>
          </w:p>
        </w:tc>
        <w:tc>
          <w:tcPr>
            <w:tcW w:w="7246" w:type="dxa"/>
            <w:vAlign w:val="center"/>
          </w:tcPr>
          <w:p w:rsidR="00A50790" w:rsidRPr="008C76ED" w:rsidRDefault="008C76ED" w:rsidP="008C76E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DSM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MISSIONS</w:t>
            </w:r>
          </w:p>
        </w:tc>
        <w:tc>
          <w:tcPr>
            <w:tcW w:w="7246" w:type="dxa"/>
            <w:vAlign w:val="center"/>
          </w:tcPr>
          <w:p w:rsidR="005320CD" w:rsidRPr="008C76ED" w:rsidRDefault="008C76ED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Regroupe les</w:t>
            </w:r>
            <w:proofErr w:type="gramEnd"/>
            <w:r>
              <w:rPr>
                <w:rFonts w:ascii="Helvetica" w:hAnsi="Helvetica" w:cs="Helvetica"/>
              </w:rPr>
              <w:t xml:space="preserve"> impliqués</w:t>
            </w:r>
          </w:p>
          <w:p w:rsidR="002E6EAE" w:rsidRDefault="008C76ED" w:rsidP="002E6EAE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Organise avec l’aide des services partenaires la prise en charge des impliqués (soutien psychologique et/ou matériel)</w:t>
            </w:r>
            <w:r w:rsidR="007B0FDB" w:rsidRPr="008C76ED">
              <w:rPr>
                <w:rFonts w:ascii="Helvetica" w:hAnsi="Helvetica" w:cs="Helvetica"/>
              </w:rPr>
              <w:t>.</w:t>
            </w:r>
            <w:r w:rsidR="002E6EAE" w:rsidRPr="008C76ED">
              <w:rPr>
                <w:rFonts w:ascii="Helvetica" w:hAnsi="Helvetica" w:cs="Helvetica"/>
              </w:rPr>
              <w:t xml:space="preserve"> </w:t>
            </w:r>
          </w:p>
          <w:p w:rsidR="002E6EAE" w:rsidRDefault="007319AD" w:rsidP="002E6EAE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Fait</w:t>
            </w:r>
            <w:r w:rsidR="008C76ED">
              <w:rPr>
                <w:rFonts w:ascii="Helvetica" w:hAnsi="Helvetica" w:cs="Helvetica"/>
              </w:rPr>
              <w:t xml:space="preserve"> l’inventaire des moyens affectés sur son secteur. (SP, AASC, CUMP, </w:t>
            </w:r>
            <w:r w:rsidR="003C250F">
              <w:rPr>
                <w:rFonts w:ascii="Helvetica" w:hAnsi="Helvetica" w:cs="Helvetica"/>
              </w:rPr>
              <w:t>USP, FSP etc.</w:t>
            </w:r>
          </w:p>
          <w:p w:rsidR="007D5963" w:rsidRDefault="008C76ED" w:rsidP="007D596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Assure le suivi SINUS des impliqués (pose de bracelets</w:t>
            </w:r>
            <w:r w:rsidR="003C250F">
              <w:rPr>
                <w:rFonts w:ascii="Helvetica" w:hAnsi="Helvetica" w:cs="Helvetica"/>
              </w:rPr>
              <w:t xml:space="preserve"> impliqués</w:t>
            </w:r>
            <w:r>
              <w:rPr>
                <w:rFonts w:ascii="Helvetica" w:hAnsi="Helvetica" w:cs="Helvetica"/>
              </w:rPr>
              <w:t>, renseignement sur ARCSINUS)</w:t>
            </w:r>
            <w:r w:rsidR="007D5963">
              <w:rPr>
                <w:rFonts w:ascii="Helvetica" w:hAnsi="Helvetica" w:cs="Helvetica"/>
              </w:rPr>
              <w:t xml:space="preserve"> </w:t>
            </w:r>
          </w:p>
          <w:p w:rsidR="003C250F" w:rsidRDefault="003C250F" w:rsidP="003C250F">
            <w:pPr>
              <w:spacing w:after="160" w:line="259" w:lineRule="auto"/>
              <w:rPr>
                <w:rFonts w:ascii="Helvetica" w:hAnsi="Helvetica" w:cs="Helvetica"/>
                <w:color w:val="000000" w:themeColor="text1"/>
              </w:rPr>
            </w:pPr>
            <w:r w:rsidRPr="003C250F">
              <w:rPr>
                <w:rFonts w:ascii="Helvetica" w:hAnsi="Helvetica" w:cs="Helvetica"/>
              </w:rPr>
              <w:t xml:space="preserve">S’assure que tout SP entrant au </w:t>
            </w:r>
            <w:r w:rsidRPr="003C250F">
              <w:rPr>
                <w:rFonts w:ascii="Helvetica" w:hAnsi="Helvetica" w:cs="Helvetica"/>
                <w:color w:val="000000" w:themeColor="text1"/>
              </w:rPr>
              <w:t>PUSP bénéficie d’un recensement SINUS classé sous X avec bracelet impliqué et fiche intermédiaire simplifiée</w:t>
            </w:r>
          </w:p>
          <w:p w:rsidR="007D5963" w:rsidRPr="008C76ED" w:rsidRDefault="007D5963" w:rsidP="007D596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Met en place un point identification pour les </w:t>
            </w:r>
            <w:r w:rsidR="003C250F">
              <w:rPr>
                <w:rFonts w:ascii="Helvetica" w:hAnsi="Helvetica" w:cs="Helvetica"/>
              </w:rPr>
              <w:t>FSP</w:t>
            </w:r>
          </w:p>
          <w:p w:rsidR="008C76ED" w:rsidRPr="008C76ED" w:rsidRDefault="007D5963" w:rsidP="002E6EAE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Met en place un soutien logistique à destination des impliquées (</w:t>
            </w:r>
            <w:r w:rsidR="007319AD">
              <w:rPr>
                <w:rFonts w:ascii="Helvetica" w:hAnsi="Helvetica" w:cs="Helvetica"/>
              </w:rPr>
              <w:t>logistique de niveau 1 dont</w:t>
            </w:r>
            <w:r>
              <w:rPr>
                <w:rFonts w:ascii="Helvetica" w:hAnsi="Helvetica" w:cs="Helvetica"/>
              </w:rPr>
              <w:t xml:space="preserve"> couverture,…)</w:t>
            </w:r>
          </w:p>
          <w:p w:rsidR="002E6EAE" w:rsidRPr="008C76ED" w:rsidRDefault="007319AD" w:rsidP="007319A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Fait</w:t>
            </w:r>
            <w:r w:rsidR="008C76ED">
              <w:rPr>
                <w:rFonts w:ascii="Helvetica" w:hAnsi="Helvetica" w:cs="Helvetica"/>
              </w:rPr>
              <w:t xml:space="preserve"> transférer</w:t>
            </w:r>
            <w:r>
              <w:rPr>
                <w:rFonts w:ascii="Helvetica" w:hAnsi="Helvetica" w:cs="Helvetica"/>
              </w:rPr>
              <w:t xml:space="preserve"> l</w:t>
            </w:r>
            <w:r w:rsidR="008C76ED">
              <w:rPr>
                <w:rFonts w:ascii="Helvetica" w:hAnsi="Helvetica" w:cs="Helvetica"/>
              </w:rPr>
              <w:t>es impliqués vers la PUMP</w:t>
            </w:r>
          </w:p>
          <w:p w:rsidR="002E6EAE" w:rsidRPr="007319AD" w:rsidRDefault="008C76ED" w:rsidP="007319AD">
            <w:pPr>
              <w:spacing w:after="160" w:line="259" w:lineRule="auto"/>
              <w:rPr>
                <w:rFonts w:ascii="Helvetica" w:hAnsi="Helvetica" w:cs="Helvetica"/>
              </w:rPr>
            </w:pPr>
            <w:r w:rsidRPr="007319AD">
              <w:rPr>
                <w:rFonts w:ascii="Helvetica" w:hAnsi="Helvetica" w:cs="Helvetica"/>
              </w:rPr>
              <w:t>A</w:t>
            </w:r>
            <w:r w:rsidR="007319AD">
              <w:rPr>
                <w:rFonts w:ascii="Helvetica" w:hAnsi="Helvetica" w:cs="Helvetica"/>
              </w:rPr>
              <w:t>utorise</w:t>
            </w:r>
            <w:r w:rsidR="003C250F">
              <w:rPr>
                <w:rFonts w:ascii="Helvetica" w:hAnsi="Helvetica" w:cs="Helvetica"/>
              </w:rPr>
              <w:t>,</w:t>
            </w:r>
            <w:r w:rsidR="007319AD">
              <w:rPr>
                <w:rFonts w:ascii="Helvetica" w:hAnsi="Helvetica" w:cs="Helvetica"/>
              </w:rPr>
              <w:t xml:space="preserve"> a</w:t>
            </w:r>
            <w:r w:rsidRPr="007319AD">
              <w:rPr>
                <w:rFonts w:ascii="Helvetica" w:hAnsi="Helvetica" w:cs="Helvetica"/>
              </w:rPr>
              <w:t>près validation d</w:t>
            </w:r>
            <w:r w:rsidR="007319AD">
              <w:rPr>
                <w:rFonts w:ascii="Helvetica" w:hAnsi="Helvetica" w:cs="Helvetica"/>
              </w:rPr>
              <w:t>u DSM, du COS et le OPJ</w:t>
            </w:r>
            <w:r w:rsidR="003C250F">
              <w:rPr>
                <w:rFonts w:ascii="Helvetica" w:hAnsi="Helvetica" w:cs="Helvetica"/>
              </w:rPr>
              <w:t>,</w:t>
            </w:r>
            <w:r w:rsidRPr="007319AD">
              <w:rPr>
                <w:rFonts w:ascii="Helvetica" w:hAnsi="Helvetica" w:cs="Helvetica"/>
              </w:rPr>
              <w:t xml:space="preserve"> les impliqués à </w:t>
            </w:r>
            <w:r w:rsidR="007D5963" w:rsidRPr="007319AD">
              <w:rPr>
                <w:rFonts w:ascii="Helvetica" w:hAnsi="Helvetica" w:cs="Helvetica"/>
              </w:rPr>
              <w:t>quitter</w:t>
            </w:r>
            <w:r w:rsidR="003C250F">
              <w:rPr>
                <w:rFonts w:ascii="Helvetica" w:hAnsi="Helvetica" w:cs="Helvetica"/>
              </w:rPr>
              <w:t xml:space="preserve"> le CAI</w:t>
            </w:r>
          </w:p>
          <w:p w:rsidR="007D5963" w:rsidRPr="008C76ED" w:rsidRDefault="007D5963" w:rsidP="007D596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Informe le DSM :</w:t>
            </w:r>
          </w:p>
          <w:p w:rsidR="007D5963" w:rsidRPr="008C76ED" w:rsidRDefault="007319AD" w:rsidP="007D5963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bookmarkStart w:id="0" w:name="_GoBack"/>
            <w:r>
              <w:rPr>
                <w:rFonts w:ascii="Helvetica" w:hAnsi="Helvetica" w:cs="Helvetica"/>
              </w:rPr>
              <w:t>D</w:t>
            </w:r>
            <w:r w:rsidR="007D5963">
              <w:rPr>
                <w:rFonts w:ascii="Helvetica" w:hAnsi="Helvetica" w:cs="Helvetica"/>
              </w:rPr>
              <w:t>es entrées et sorties cumulées</w:t>
            </w:r>
            <w:bookmarkEnd w:id="0"/>
            <w:r w:rsidR="007D5963">
              <w:rPr>
                <w:rFonts w:ascii="Helvetica" w:hAnsi="Helvetica" w:cs="Helvetica"/>
              </w:rPr>
              <w:t>. (Nombre d’impliqués)</w:t>
            </w:r>
          </w:p>
          <w:p w:rsidR="007D5963" w:rsidRDefault="007319AD" w:rsidP="007D5963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</w:t>
            </w:r>
            <w:r w:rsidR="007D5963">
              <w:rPr>
                <w:rFonts w:ascii="Helvetica" w:hAnsi="Helvetica" w:cs="Helvetica"/>
              </w:rPr>
              <w:t>es actions menées</w:t>
            </w:r>
          </w:p>
          <w:p w:rsidR="007D5963" w:rsidRDefault="007319AD" w:rsidP="007D5963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</w:t>
            </w:r>
            <w:r w:rsidR="007D5963">
              <w:rPr>
                <w:rFonts w:ascii="Helvetica" w:hAnsi="Helvetica" w:cs="Helvetica"/>
              </w:rPr>
              <w:t>es évolutions prévisibles</w:t>
            </w:r>
          </w:p>
          <w:p w:rsidR="007D5963" w:rsidRPr="008C76ED" w:rsidRDefault="007319AD" w:rsidP="007319AD">
            <w:pPr>
              <w:pStyle w:val="Paragraphedeliste"/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</w:t>
            </w:r>
            <w:r w:rsidR="007D5963">
              <w:rPr>
                <w:rFonts w:ascii="Helvetica" w:hAnsi="Helvetica" w:cs="Helvetica"/>
              </w:rPr>
              <w:t>es contraintes particulières.</w:t>
            </w:r>
          </w:p>
          <w:p w:rsidR="005320CD" w:rsidRPr="008C76ED" w:rsidRDefault="005320CD" w:rsidP="00831568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POINTS DE VIGILANCE</w:t>
            </w:r>
          </w:p>
        </w:tc>
        <w:tc>
          <w:tcPr>
            <w:tcW w:w="7246" w:type="dxa"/>
            <w:vAlign w:val="center"/>
          </w:tcPr>
          <w:p w:rsidR="00A50790" w:rsidRPr="008C76ED" w:rsidRDefault="007D5963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S’assure du regroupement de tous les impliqués</w:t>
            </w:r>
          </w:p>
          <w:p w:rsidR="00A50790" w:rsidRPr="008C76ED" w:rsidRDefault="007D5963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</w:t>
            </w:r>
            <w:r w:rsidR="007319AD">
              <w:rPr>
                <w:rFonts w:ascii="Helvetica" w:hAnsi="Helvetica" w:cs="Helvetica"/>
              </w:rPr>
              <w:t>ient</w:t>
            </w:r>
            <w:r>
              <w:rPr>
                <w:rFonts w:ascii="Helvetica" w:hAnsi="Helvetica" w:cs="Helvetica"/>
              </w:rPr>
              <w:t xml:space="preserve"> à jour les bilans évolutifs des impliqués (SINUS)</w:t>
            </w:r>
          </w:p>
          <w:p w:rsidR="00A50790" w:rsidRPr="008C76ED" w:rsidRDefault="007D5963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Informe le DSM du changement de catégorisation des victimes</w:t>
            </w:r>
          </w:p>
          <w:p w:rsidR="00A50790" w:rsidRDefault="007D5963" w:rsidP="007319A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Veille à l’identification des impliquées en lien avec l’OPJ</w:t>
            </w:r>
            <w:r w:rsidR="00831568" w:rsidRPr="008C76ED">
              <w:rPr>
                <w:rFonts w:ascii="Helvetica" w:hAnsi="Helvetica" w:cs="Helvetica"/>
              </w:rPr>
              <w:t>.</w:t>
            </w:r>
          </w:p>
          <w:p w:rsidR="00D2419C" w:rsidRDefault="00D2419C" w:rsidP="00D2419C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 réalise aucune communication auprès des médias</w:t>
            </w:r>
          </w:p>
          <w:p w:rsidR="003C250F" w:rsidRPr="008C76ED" w:rsidRDefault="003C250F" w:rsidP="00D2419C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Respecte le poste attribué</w:t>
            </w:r>
          </w:p>
        </w:tc>
      </w:tr>
    </w:tbl>
    <w:p w:rsidR="00340480" w:rsidRDefault="00340480" w:rsidP="00F5150A">
      <w:pPr>
        <w:spacing w:after="160" w:line="259" w:lineRule="auto"/>
        <w:rPr>
          <w:rFonts w:ascii="Helvetica" w:hAnsi="Helvetica" w:cs="Helvetica"/>
          <w:b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2127"/>
      </w:tblGrid>
      <w:tr w:rsidR="00145AC3" w:rsidRPr="007319AD" w:rsidTr="00145AC3">
        <w:tc>
          <w:tcPr>
            <w:tcW w:w="1701" w:type="dxa"/>
            <w:vAlign w:val="center"/>
          </w:tcPr>
          <w:p w:rsidR="00145AC3" w:rsidRPr="007319AD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  <w:r w:rsidRPr="007319AD">
              <w:rPr>
                <w:rFonts w:ascii="Helvetica" w:hAnsi="Helvetica" w:cs="Helvetica"/>
                <w:highlight w:val="yellow"/>
              </w:rPr>
              <w:t>Canal Amont</w:t>
            </w:r>
          </w:p>
        </w:tc>
        <w:tc>
          <w:tcPr>
            <w:tcW w:w="2127" w:type="dxa"/>
            <w:vAlign w:val="center"/>
          </w:tcPr>
          <w:p w:rsidR="00145AC3" w:rsidRPr="007319AD" w:rsidRDefault="00145AC3" w:rsidP="00831568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</w:p>
        </w:tc>
      </w:tr>
      <w:tr w:rsidR="00145AC3" w:rsidTr="00145AC3">
        <w:tc>
          <w:tcPr>
            <w:tcW w:w="1701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 w:rsidRPr="007319AD">
              <w:rPr>
                <w:rFonts w:ascii="Helvetica" w:hAnsi="Helvetica" w:cs="Helvetica"/>
                <w:highlight w:val="yellow"/>
              </w:rPr>
              <w:t>Canal Aval</w:t>
            </w:r>
          </w:p>
        </w:tc>
        <w:tc>
          <w:tcPr>
            <w:tcW w:w="2127" w:type="dxa"/>
            <w:vAlign w:val="center"/>
          </w:tcPr>
          <w:p w:rsidR="00145AC3" w:rsidRPr="00145AC3" w:rsidRDefault="00145AC3" w:rsidP="00F52BEA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</w:p>
        </w:tc>
      </w:tr>
    </w:tbl>
    <w:p w:rsidR="00145AC3" w:rsidRPr="00A22704" w:rsidRDefault="00145AC3" w:rsidP="00145AC3">
      <w:pPr>
        <w:spacing w:after="160" w:line="259" w:lineRule="auto"/>
        <w:jc w:val="center"/>
        <w:rPr>
          <w:rFonts w:ascii="Helvetica" w:hAnsi="Helvetica" w:cs="Helvetica"/>
          <w:b/>
        </w:rPr>
      </w:pPr>
    </w:p>
    <w:sectPr w:rsidR="00145AC3" w:rsidRPr="00A22704" w:rsidSect="007A4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71" w:rsidRDefault="007E4671" w:rsidP="007E4671">
      <w:r>
        <w:separator/>
      </w:r>
    </w:p>
  </w:endnote>
  <w:endnote w:type="continuationSeparator" w:id="0">
    <w:p w:rsidR="007E4671" w:rsidRDefault="007E4671" w:rsidP="007E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23" w:rsidRDefault="0065382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92"/>
      <w:gridCol w:w="980"/>
    </w:tblGrid>
    <w:tr w:rsidR="007E4671" w:rsidRPr="00751A52" w:rsidTr="001C3D31">
      <w:tc>
        <w:tcPr>
          <w:tcW w:w="8748" w:type="dxa"/>
          <w:tcBorders>
            <w:top w:val="single" w:sz="4" w:space="0" w:color="auto"/>
          </w:tcBorders>
        </w:tcPr>
        <w:p w:rsidR="007E4671" w:rsidRPr="00751A52" w:rsidRDefault="007E4671" w:rsidP="005320C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t xml:space="preserve">ITOP </w:t>
          </w:r>
          <w:r w:rsidR="005320CD">
            <w:rPr>
              <w:rFonts w:ascii="Arial" w:hAnsi="Arial" w:cs="Arial"/>
              <w:sz w:val="16"/>
              <w:szCs w:val="16"/>
            </w:rPr>
            <w:t>SMV</w:t>
          </w:r>
          <w:r w:rsidR="00D55A71">
            <w:rPr>
              <w:rFonts w:ascii="Arial" w:hAnsi="Arial" w:cs="Arial"/>
              <w:sz w:val="16"/>
              <w:szCs w:val="16"/>
            </w:rPr>
            <w:t xml:space="preserve"> – </w:t>
          </w:r>
          <w:r w:rsidR="005320CD">
            <w:rPr>
              <w:rFonts w:ascii="Arial" w:hAnsi="Arial" w:cs="Arial"/>
              <w:sz w:val="16"/>
              <w:szCs w:val="16"/>
            </w:rPr>
            <w:t>Fiche fonction Primo intervenant (1</w:t>
          </w:r>
          <w:r w:rsidR="005320CD" w:rsidRPr="005320CD">
            <w:rPr>
              <w:rFonts w:ascii="Arial" w:hAnsi="Arial" w:cs="Arial"/>
              <w:sz w:val="16"/>
              <w:szCs w:val="16"/>
              <w:vertAlign w:val="superscript"/>
            </w:rPr>
            <w:t>er</w:t>
          </w:r>
          <w:r w:rsidR="005320CD">
            <w:rPr>
              <w:rFonts w:ascii="Arial" w:hAnsi="Arial" w:cs="Arial"/>
              <w:sz w:val="16"/>
              <w:szCs w:val="16"/>
            </w:rPr>
            <w:t xml:space="preserve"> COS)</w:t>
          </w:r>
          <w:r w:rsidR="002F763D">
            <w:rPr>
              <w:rFonts w:ascii="Arial" w:hAnsi="Arial" w:cs="Arial"/>
              <w:sz w:val="16"/>
              <w:szCs w:val="16"/>
            </w:rPr>
            <w:t> »</w:t>
          </w:r>
        </w:p>
      </w:tc>
      <w:tc>
        <w:tcPr>
          <w:tcW w:w="1030" w:type="dxa"/>
          <w:tcBorders>
            <w:top w:val="single" w:sz="4" w:space="0" w:color="auto"/>
          </w:tcBorders>
        </w:tcPr>
        <w:p w:rsidR="007E4671" w:rsidRPr="00751A52" w:rsidRDefault="007E4671" w:rsidP="007E4671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3C250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  <w:r w:rsidRPr="00751A52">
            <w:rPr>
              <w:rFonts w:ascii="Arial" w:hAnsi="Arial" w:cs="Arial"/>
              <w:sz w:val="16"/>
              <w:szCs w:val="16"/>
            </w:rPr>
            <w:t>/</w:t>
          </w: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3C250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E4671" w:rsidRPr="00F935B2" w:rsidRDefault="007E4671" w:rsidP="007E4671">
    <w:pPr>
      <w:pStyle w:val="Pieddepage"/>
    </w:pPr>
  </w:p>
  <w:p w:rsidR="007E4671" w:rsidRDefault="007E467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23" w:rsidRDefault="006538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71" w:rsidRDefault="007E4671" w:rsidP="007E4671">
      <w:r>
        <w:separator/>
      </w:r>
    </w:p>
  </w:footnote>
  <w:footnote w:type="continuationSeparator" w:id="0">
    <w:p w:rsidR="007E4671" w:rsidRDefault="007E4671" w:rsidP="007E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23" w:rsidRDefault="0065382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 xml:space="preserve">ITOP </w:t>
          </w:r>
          <w:r w:rsidR="00A50790">
            <w:rPr>
              <w:rFonts w:ascii="Helvetica" w:hAnsi="Helvetica" w:cs="Helvetica"/>
              <w:b/>
              <w:sz w:val="24"/>
              <w:szCs w:val="24"/>
            </w:rPr>
            <w:t>SMV</w:t>
          </w:r>
        </w:p>
      </w:tc>
      <w:tc>
        <w:tcPr>
          <w:tcW w:w="5796" w:type="dxa"/>
          <w:vAlign w:val="center"/>
        </w:tcPr>
        <w:p w:rsidR="007A44DF" w:rsidRPr="000B661A" w:rsidRDefault="00A50790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>
            <w:rPr>
              <w:rFonts w:ascii="Helvetica" w:hAnsi="Helvetica" w:cs="Helvetica"/>
              <w:b/>
              <w:bCs/>
              <w:sz w:val="24"/>
              <w:szCs w:val="24"/>
            </w:rPr>
            <w:t>Situation Multiples Victimes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7A44DF" w:rsidRPr="000B661A" w:rsidRDefault="007A44DF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653823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</w:t>
          </w:r>
          <w:r w:rsidR="00E44266">
            <w:rPr>
              <w:rFonts w:ascii="Helvetica" w:hAnsi="Helvetica" w:cs="Helvetica"/>
              <w:sz w:val="24"/>
              <w:szCs w:val="24"/>
            </w:rPr>
            <w:t xml:space="preserve"> </w:t>
          </w:r>
          <w:r w:rsidR="00653823">
            <w:rPr>
              <w:rFonts w:ascii="Helvetica" w:hAnsi="Helvetica" w:cs="Helvetica"/>
              <w:sz w:val="24"/>
              <w:szCs w:val="24"/>
            </w:rPr>
            <w:t>2</w:t>
          </w:r>
          <w:r w:rsidR="00E44266">
            <w:rPr>
              <w:rFonts w:ascii="Helvetica" w:hAnsi="Helvetica" w:cs="Helvetica"/>
              <w:sz w:val="24"/>
              <w:szCs w:val="24"/>
            </w:rPr>
            <w:t>9</w:t>
          </w:r>
          <w:r w:rsidRPr="000B661A">
            <w:rPr>
              <w:rFonts w:ascii="Helvetica" w:hAnsi="Helvetica" w:cs="Helvetica"/>
              <w:sz w:val="24"/>
              <w:szCs w:val="24"/>
            </w:rPr>
            <w:t xml:space="preserve"> </w:t>
          </w:r>
        </w:p>
      </w:tc>
      <w:tc>
        <w:tcPr>
          <w:tcW w:w="5796" w:type="dxa"/>
          <w:vAlign w:val="center"/>
        </w:tcPr>
        <w:p w:rsidR="007A44DF" w:rsidRPr="000B661A" w:rsidRDefault="005E439A" w:rsidP="00A338F6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Officier </w:t>
          </w:r>
          <w:r w:rsidR="00A338F6">
            <w:rPr>
              <w:rFonts w:ascii="Helvetica" w:hAnsi="Helvetica" w:cs="Helvetica"/>
              <w:sz w:val="24"/>
              <w:szCs w:val="24"/>
            </w:rPr>
            <w:t>CAI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7A44DF" w:rsidRPr="000B661A" w:rsidRDefault="00A50790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/</w:t>
          </w:r>
        </w:p>
      </w:tc>
    </w:tr>
  </w:tbl>
  <w:p w:rsidR="007A44DF" w:rsidRDefault="007A44D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>ITOP DIV</w:t>
          </w:r>
        </w:p>
      </w:tc>
      <w:tc>
        <w:tcPr>
          <w:tcW w:w="5796" w:type="dxa"/>
          <w:vAlign w:val="center"/>
        </w:tcPr>
        <w:p w:rsidR="00057F8C" w:rsidRPr="000B661A" w:rsidRDefault="00057F8C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b/>
              <w:bCs/>
              <w:sz w:val="24"/>
              <w:szCs w:val="24"/>
            </w:rPr>
            <w:t>Les opérations diverses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 1</w:t>
          </w:r>
        </w:p>
      </w:tc>
      <w:tc>
        <w:tcPr>
          <w:tcW w:w="5796" w:type="dxa"/>
          <w:vAlign w:val="center"/>
        </w:tcPr>
        <w:p w:rsidR="00057F8C" w:rsidRPr="000B661A" w:rsidRDefault="007A44DF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Les </w:t>
          </w:r>
          <w:r w:rsidR="00057F8C" w:rsidRPr="000B661A">
            <w:rPr>
              <w:rFonts w:ascii="Helvetica" w:hAnsi="Helvetica" w:cs="Helvetica"/>
              <w:sz w:val="24"/>
              <w:szCs w:val="24"/>
            </w:rPr>
            <w:t>hyménoptères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Avril 2019</w:t>
          </w:r>
        </w:p>
      </w:tc>
    </w:tr>
  </w:tbl>
  <w:p w:rsidR="00057F8C" w:rsidRDefault="00057F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7EB"/>
    <w:multiLevelType w:val="hybridMultilevel"/>
    <w:tmpl w:val="5834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9DA"/>
    <w:multiLevelType w:val="hybridMultilevel"/>
    <w:tmpl w:val="566037D8"/>
    <w:lvl w:ilvl="0" w:tplc="DB1666F4">
      <w:start w:val="1"/>
      <w:numFmt w:val="lowerLetter"/>
      <w:lvlText w:val="%1."/>
      <w:lvlJc w:val="left"/>
      <w:pPr>
        <w:ind w:left="2062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A0A6C23"/>
    <w:multiLevelType w:val="hybridMultilevel"/>
    <w:tmpl w:val="26645532"/>
    <w:lvl w:ilvl="0" w:tplc="C46CE62A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12E2F"/>
    <w:multiLevelType w:val="hybridMultilevel"/>
    <w:tmpl w:val="D6228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9A3"/>
    <w:multiLevelType w:val="multilevel"/>
    <w:tmpl w:val="C69287C2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5" w15:restartNumberingAfterBreak="0">
    <w:nsid w:val="4CD01EDC"/>
    <w:multiLevelType w:val="hybridMultilevel"/>
    <w:tmpl w:val="201A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820"/>
    <w:multiLevelType w:val="hybridMultilevel"/>
    <w:tmpl w:val="4DEA87A6"/>
    <w:lvl w:ilvl="0" w:tplc="1026F5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2570D"/>
    <w:multiLevelType w:val="hybridMultilevel"/>
    <w:tmpl w:val="C9BE0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7EF"/>
    <w:multiLevelType w:val="hybridMultilevel"/>
    <w:tmpl w:val="C0609E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F256A4"/>
    <w:multiLevelType w:val="hybridMultilevel"/>
    <w:tmpl w:val="34120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449"/>
    <w:multiLevelType w:val="hybridMultilevel"/>
    <w:tmpl w:val="6A2A5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574F0"/>
    <w:multiLevelType w:val="hybridMultilevel"/>
    <w:tmpl w:val="81369308"/>
    <w:lvl w:ilvl="0" w:tplc="AE5812E4">
      <w:start w:val="1"/>
      <w:numFmt w:val="decimal"/>
      <w:lvlText w:val="%1."/>
      <w:lvlJc w:val="left"/>
      <w:pPr>
        <w:ind w:left="720" w:hanging="360"/>
      </w:pPr>
    </w:lvl>
    <w:lvl w:ilvl="1" w:tplc="E4F2BA62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D1EC5"/>
    <w:multiLevelType w:val="hybridMultilevel"/>
    <w:tmpl w:val="68223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1"/>
  </w:num>
  <w:num w:numId="16">
    <w:abstractNumId w:val="4"/>
  </w:num>
  <w:num w:numId="17">
    <w:abstractNumId w:val="4"/>
  </w:num>
  <w:num w:numId="18">
    <w:abstractNumId w:val="11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9"/>
  </w:num>
  <w:num w:numId="38">
    <w:abstractNumId w:val="5"/>
  </w:num>
  <w:num w:numId="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9C"/>
    <w:rsid w:val="0000047C"/>
    <w:rsid w:val="00001554"/>
    <w:rsid w:val="00005A91"/>
    <w:rsid w:val="00014727"/>
    <w:rsid w:val="000303D6"/>
    <w:rsid w:val="000443C2"/>
    <w:rsid w:val="00057F8C"/>
    <w:rsid w:val="000877CC"/>
    <w:rsid w:val="000B661A"/>
    <w:rsid w:val="000C7110"/>
    <w:rsid w:val="000E4A37"/>
    <w:rsid w:val="00120EB0"/>
    <w:rsid w:val="00120F1C"/>
    <w:rsid w:val="00122243"/>
    <w:rsid w:val="00125769"/>
    <w:rsid w:val="00137A55"/>
    <w:rsid w:val="00145AC3"/>
    <w:rsid w:val="001469CE"/>
    <w:rsid w:val="00173248"/>
    <w:rsid w:val="002243D3"/>
    <w:rsid w:val="00251F22"/>
    <w:rsid w:val="00267620"/>
    <w:rsid w:val="002C062A"/>
    <w:rsid w:val="002C1F42"/>
    <w:rsid w:val="002E6EAE"/>
    <w:rsid w:val="002F763D"/>
    <w:rsid w:val="00303F5F"/>
    <w:rsid w:val="003067F4"/>
    <w:rsid w:val="00312F76"/>
    <w:rsid w:val="00330B38"/>
    <w:rsid w:val="00340480"/>
    <w:rsid w:val="00347F53"/>
    <w:rsid w:val="00356EBA"/>
    <w:rsid w:val="003814A7"/>
    <w:rsid w:val="003970F4"/>
    <w:rsid w:val="003C250F"/>
    <w:rsid w:val="004310E0"/>
    <w:rsid w:val="00442814"/>
    <w:rsid w:val="00447575"/>
    <w:rsid w:val="00457B35"/>
    <w:rsid w:val="00462B51"/>
    <w:rsid w:val="004658B6"/>
    <w:rsid w:val="0048038E"/>
    <w:rsid w:val="004A74EA"/>
    <w:rsid w:val="004B56E4"/>
    <w:rsid w:val="004C6095"/>
    <w:rsid w:val="004D583B"/>
    <w:rsid w:val="004E3F0D"/>
    <w:rsid w:val="004E558F"/>
    <w:rsid w:val="00531BCC"/>
    <w:rsid w:val="005320CD"/>
    <w:rsid w:val="00536DCE"/>
    <w:rsid w:val="005660DB"/>
    <w:rsid w:val="00590045"/>
    <w:rsid w:val="005A264A"/>
    <w:rsid w:val="005B5EA8"/>
    <w:rsid w:val="005D7AD1"/>
    <w:rsid w:val="005E439A"/>
    <w:rsid w:val="00600B90"/>
    <w:rsid w:val="006344A5"/>
    <w:rsid w:val="0065047D"/>
    <w:rsid w:val="00653823"/>
    <w:rsid w:val="00654D53"/>
    <w:rsid w:val="0067369C"/>
    <w:rsid w:val="006A3523"/>
    <w:rsid w:val="007319AD"/>
    <w:rsid w:val="007623BC"/>
    <w:rsid w:val="007A44DF"/>
    <w:rsid w:val="007B0FDB"/>
    <w:rsid w:val="007B1A2D"/>
    <w:rsid w:val="007B20AB"/>
    <w:rsid w:val="007C4184"/>
    <w:rsid w:val="007D5963"/>
    <w:rsid w:val="007E4671"/>
    <w:rsid w:val="007E6017"/>
    <w:rsid w:val="008128DA"/>
    <w:rsid w:val="008251BC"/>
    <w:rsid w:val="00831568"/>
    <w:rsid w:val="008317EC"/>
    <w:rsid w:val="00834952"/>
    <w:rsid w:val="00842027"/>
    <w:rsid w:val="008466AB"/>
    <w:rsid w:val="008560B3"/>
    <w:rsid w:val="00875EB9"/>
    <w:rsid w:val="00894423"/>
    <w:rsid w:val="008B7FDB"/>
    <w:rsid w:val="008C76ED"/>
    <w:rsid w:val="008D3E95"/>
    <w:rsid w:val="008E485E"/>
    <w:rsid w:val="0092592F"/>
    <w:rsid w:val="009273B6"/>
    <w:rsid w:val="00964ADB"/>
    <w:rsid w:val="00992CC8"/>
    <w:rsid w:val="009C36EB"/>
    <w:rsid w:val="009C6C82"/>
    <w:rsid w:val="009C7157"/>
    <w:rsid w:val="009C7184"/>
    <w:rsid w:val="009D1490"/>
    <w:rsid w:val="009D16D5"/>
    <w:rsid w:val="009D1B3E"/>
    <w:rsid w:val="009D1F22"/>
    <w:rsid w:val="009D7613"/>
    <w:rsid w:val="009E1494"/>
    <w:rsid w:val="009F2C9F"/>
    <w:rsid w:val="00A124AB"/>
    <w:rsid w:val="00A15D6C"/>
    <w:rsid w:val="00A1637B"/>
    <w:rsid w:val="00A2192F"/>
    <w:rsid w:val="00A22704"/>
    <w:rsid w:val="00A22E20"/>
    <w:rsid w:val="00A25DDC"/>
    <w:rsid w:val="00A338F6"/>
    <w:rsid w:val="00A420B1"/>
    <w:rsid w:val="00A44B76"/>
    <w:rsid w:val="00A4649B"/>
    <w:rsid w:val="00A50790"/>
    <w:rsid w:val="00A71B24"/>
    <w:rsid w:val="00A82824"/>
    <w:rsid w:val="00A95749"/>
    <w:rsid w:val="00AA0CF4"/>
    <w:rsid w:val="00AC7FBB"/>
    <w:rsid w:val="00AD5CD0"/>
    <w:rsid w:val="00AE4E25"/>
    <w:rsid w:val="00AF6775"/>
    <w:rsid w:val="00AF6BCC"/>
    <w:rsid w:val="00B208DB"/>
    <w:rsid w:val="00B21CBE"/>
    <w:rsid w:val="00B922BB"/>
    <w:rsid w:val="00BB0958"/>
    <w:rsid w:val="00BC0E06"/>
    <w:rsid w:val="00C61B6E"/>
    <w:rsid w:val="00C61BB3"/>
    <w:rsid w:val="00CB5A1A"/>
    <w:rsid w:val="00CC5C67"/>
    <w:rsid w:val="00CE443C"/>
    <w:rsid w:val="00CE58CE"/>
    <w:rsid w:val="00CF070B"/>
    <w:rsid w:val="00CF5833"/>
    <w:rsid w:val="00D00BA8"/>
    <w:rsid w:val="00D20FAF"/>
    <w:rsid w:val="00D2419C"/>
    <w:rsid w:val="00D24C1C"/>
    <w:rsid w:val="00D25D31"/>
    <w:rsid w:val="00D37122"/>
    <w:rsid w:val="00D55A71"/>
    <w:rsid w:val="00D60705"/>
    <w:rsid w:val="00D7409C"/>
    <w:rsid w:val="00D85A22"/>
    <w:rsid w:val="00DD05F2"/>
    <w:rsid w:val="00DE5B35"/>
    <w:rsid w:val="00DE7796"/>
    <w:rsid w:val="00DE7EA6"/>
    <w:rsid w:val="00DF02F2"/>
    <w:rsid w:val="00DF40B3"/>
    <w:rsid w:val="00E00AD3"/>
    <w:rsid w:val="00E1167D"/>
    <w:rsid w:val="00E40701"/>
    <w:rsid w:val="00E43BD3"/>
    <w:rsid w:val="00E44266"/>
    <w:rsid w:val="00E45BF9"/>
    <w:rsid w:val="00E55A4C"/>
    <w:rsid w:val="00E5768C"/>
    <w:rsid w:val="00E615A7"/>
    <w:rsid w:val="00E75092"/>
    <w:rsid w:val="00E905E4"/>
    <w:rsid w:val="00E95FF8"/>
    <w:rsid w:val="00EC61E0"/>
    <w:rsid w:val="00ED76F9"/>
    <w:rsid w:val="00EE0D7D"/>
    <w:rsid w:val="00EF1A60"/>
    <w:rsid w:val="00EF497D"/>
    <w:rsid w:val="00F007CD"/>
    <w:rsid w:val="00F328B0"/>
    <w:rsid w:val="00F35489"/>
    <w:rsid w:val="00F42CEC"/>
    <w:rsid w:val="00F46DE9"/>
    <w:rsid w:val="00F4703F"/>
    <w:rsid w:val="00F47755"/>
    <w:rsid w:val="00F5150A"/>
    <w:rsid w:val="00F52BEA"/>
    <w:rsid w:val="00F9215C"/>
    <w:rsid w:val="00FA327E"/>
    <w:rsid w:val="00FC5376"/>
    <w:rsid w:val="00FC7B72"/>
    <w:rsid w:val="00FD76F4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chartTrackingRefBased/>
  <w15:docId w15:val="{48CA48F4-C4EF-4F7A-9F86-B9233970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4423"/>
    <w:pPr>
      <w:keepNext/>
      <w:keepLines/>
      <w:numPr>
        <w:numId w:val="1"/>
      </w:numPr>
      <w:spacing w:before="240"/>
      <w:outlineLvl w:val="0"/>
    </w:pPr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5A7"/>
    <w:pPr>
      <w:keepNext/>
      <w:keepLines/>
      <w:numPr>
        <w:ilvl w:val="1"/>
        <w:numId w:val="1"/>
      </w:numPr>
      <w:tabs>
        <w:tab w:val="left" w:pos="1134"/>
      </w:tabs>
      <w:spacing w:before="40"/>
      <w:outlineLvl w:val="1"/>
    </w:pPr>
    <w:rPr>
      <w:rFonts w:ascii="Helvetica" w:eastAsiaTheme="majorEastAsia" w:hAnsi="Helvetica" w:cstheme="majorBidi"/>
      <w:b/>
      <w:sz w:val="22"/>
      <w:szCs w:val="26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7369C"/>
    <w:pPr>
      <w:numPr>
        <w:ilvl w:val="2"/>
      </w:numPr>
      <w:tabs>
        <w:tab w:val="left" w:pos="1843"/>
      </w:tabs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61E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DC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DC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DC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DC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DC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671"/>
    <w:pPr>
      <w:ind w:left="720"/>
      <w:contextualSpacing/>
    </w:pPr>
  </w:style>
  <w:style w:type="paragraph" w:styleId="Sansinterligne">
    <w:name w:val="No Spacing"/>
    <w:uiPriority w:val="1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E4671"/>
    <w:pPr>
      <w:tabs>
        <w:tab w:val="left" w:pos="6120"/>
      </w:tabs>
      <w:ind w:right="142" w:firstLine="720"/>
      <w:jc w:val="both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E4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4423"/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661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661A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E615A7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7369C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C61E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lev">
    <w:name w:val="Strong"/>
    <w:basedOn w:val="Policepardfaut"/>
    <w:qFormat/>
    <w:rsid w:val="00CF583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6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E4"/>
    <w:rPr>
      <w:rFonts w:ascii="Segoe UI" w:eastAsia="Times New Roman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536DC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36DC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36DC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36D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36D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20B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20B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AF3A-2BB9-4163-B299-26A52C97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Grégory</dc:creator>
  <cp:keywords/>
  <dc:description/>
  <cp:lastModifiedBy>GAY Frédéric</cp:lastModifiedBy>
  <cp:revision>15</cp:revision>
  <cp:lastPrinted>2019-04-24T14:43:00Z</cp:lastPrinted>
  <dcterms:created xsi:type="dcterms:W3CDTF">2022-07-05T15:38:00Z</dcterms:created>
  <dcterms:modified xsi:type="dcterms:W3CDTF">2022-11-29T15:23:00Z</dcterms:modified>
</cp:coreProperties>
</file>