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5" w:tblpY="0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8145"/>
        <w:tblGridChange w:id="0">
          <w:tblGrid>
            <w:gridCol w:w="2340"/>
            <w:gridCol w:w="8145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47763" cy="1147763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63" cy="11477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GRILLE D’AIDE A LA DECISION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Chef d’agrès d’un engin comportant une équipe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1.6406250000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Domaine d’activité de la protection des personnes, des biens, de l’environnement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2280"/>
              </w:tabs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Bloc de compétences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280"/>
              </w:tabs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Commander un véhicule tout usage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30" w:tblpY="0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1200"/>
        <w:gridCol w:w="1335"/>
        <w:gridCol w:w="2340"/>
        <w:gridCol w:w="3540"/>
        <w:tblGridChange w:id="0">
          <w:tblGrid>
            <w:gridCol w:w="2070"/>
            <w:gridCol w:w="1200"/>
            <w:gridCol w:w="1335"/>
            <w:gridCol w:w="2340"/>
            <w:gridCol w:w="3540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Compétences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Savoirs-agir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Indicateurs de performance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Assurer la sécurité immédiate, adaptée et permanente de la zone d’intervention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Sécuriser le site de l’intervention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spacing w:after="0" w:line="259" w:lineRule="auto"/>
              <w:ind w:left="144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Placement de l’engin pertinent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spacing w:after="0" w:line="259" w:lineRule="auto"/>
              <w:ind w:left="144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Définit un zonage ou en connaît les principes (ZE, ZC, ZS, ZP)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pacing w:after="160" w:line="259" w:lineRule="auto"/>
              <w:ind w:left="144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 en place des réaction immédiates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Identifier les risques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Observer la situation, le contexte, l’environnement, analyser et identifier les risques et les enjeux liés 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7"/>
              </w:numPr>
              <w:spacing w:after="0" w:line="259" w:lineRule="auto"/>
              <w:ind w:left="144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Utilise le témoin afin de recueillir un maximum d’informations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spacing w:after="0" w:line="259" w:lineRule="auto"/>
              <w:ind w:left="144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Comprend la situation et identifie le problème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spacing w:after="0" w:line="259" w:lineRule="auto"/>
              <w:ind w:left="144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Effectue une reconnaissance primaire puis secondaire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7"/>
              </w:numPr>
              <w:spacing w:after="160" w:line="259" w:lineRule="auto"/>
              <w:ind w:left="144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Identifie si la mission est du champ de ses compétences ou d’un prestataire privé. (élagueur, insectes…)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aux personnes et aux biens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Évacue, déplace les personnes soumises directement ou non au flux ou à la source.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 en place des mesures de protection des biens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Connaît les différents matériels de protection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aux interventions en lien avec les animaux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Prend en compte les risques pour l’animal, le maître (empathie vis à vis du maître), les intervenants SP ou non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Sait à qui faire appel en cas d’interventions animalières (spécialiste, off CODIS, vétérinaire)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Connaît les obligations des communes vis à vis des animaux (convention avec un APA)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 en place des mesures conservatoires avec les moyens dont il dispose</w:t>
            </w:r>
          </w:p>
        </w:tc>
      </w:tr>
      <w:tr>
        <w:trPr>
          <w:cantSplit w:val="0"/>
          <w:trHeight w:val="2066.510620117189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la protection de l’environnement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Connaît les différents acteurs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Identifie les différents flux et cibles rapidement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Sait à qui faire appel (DIR, Mairie, Eaux, Dréal…)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Demande l’avis d’un spécialiste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aux dangers climatiques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6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Connaît les risques liés aux interventions lors d’intempéries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Limites d’utilisation des matériels </w:t>
            </w:r>
          </w:p>
        </w:tc>
      </w:tr>
      <w:tr>
        <w:trPr>
          <w:cantSplit w:val="0"/>
          <w:trHeight w:val="1527.10937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Définir la technique opérationnelle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Déterminer la technique adaptée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Fait appel à ses connaissances, au  matériel à disposition.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 sert de la balance bénéfice/risque pour décider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Sait ce sur quoi il veut agir ( </w:t>
            </w:r>
            <w:r w:rsidDel="00000000" w:rsidR="00000000" w:rsidRPr="00000000">
              <w:rPr>
                <w:b w:val="1"/>
                <w:rtl w:val="0"/>
              </w:rPr>
              <w:t xml:space="preserve">Source:flux:cible</w:t>
            </w:r>
            <w:r w:rsidDel="00000000" w:rsidR="00000000" w:rsidRPr="00000000">
              <w:rPr>
                <w:rtl w:val="0"/>
              </w:rPr>
              <w:t xml:space="preserve">) et choisit la technique en fonction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Adapter la technique pour l’efficience de la mission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Adapte la technique en fonction de la situation, des conditions météo, de la capacité physique de ses équipiers </w:t>
            </w:r>
            <w:r w:rsidDel="00000000" w:rsidR="00000000" w:rsidRPr="00000000">
              <w:rPr>
                <w:b w:val="1"/>
                <w:rtl w:val="0"/>
              </w:rPr>
              <w:t xml:space="preserve">tout en respectant la doctrine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 capable de le justifier</w:t>
            </w:r>
          </w:p>
        </w:tc>
      </w:tr>
      <w:tr>
        <w:trPr>
          <w:cantSplit w:val="0"/>
          <w:trHeight w:val="1312.7587890625011" w:hRule="atLeast"/>
          <w:tblHeader w:val="0"/>
        </w:trPr>
        <w:tc>
          <w:tcPr>
            <w:tcBorders>
              <w:bottom w:color="fffff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Commander son équipe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Ordonner la mission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Utilise le SMES pour formaliser ses ordres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 clair et utilise la reformulation si besoin</w:t>
            </w:r>
          </w:p>
        </w:tc>
      </w:tr>
      <w:tr>
        <w:trPr>
          <w:cantSplit w:val="0"/>
          <w:trHeight w:val="1312.7587890625011" w:hRule="atLeast"/>
          <w:tblHeader w:val="0"/>
        </w:trPr>
        <w:tc>
          <w:tcPr>
            <w:tcBorders>
              <w:top w:color="fffff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Contrôler l’efficience de la mission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8"/>
              </w:numPr>
              <w:spacing w:after="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Évalue l’efficacité de son action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8"/>
              </w:numPr>
              <w:spacing w:after="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 capable de  faire modifier, adapter la technique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8"/>
              </w:numPr>
              <w:spacing w:after="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Demande du renfort lorsqu’il identifie que l’opération peut durer plusieurs heures.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8"/>
              </w:numPr>
              <w:spacing w:after="160" w:line="259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 présent sur la ZI lors d’actions importantes (être là au bon moment)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5"/>
            <w:shd w:fill="d0cece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Critères d’appréciations de l’action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shd w:fill="ff0000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NON ACQUIS</w:t>
            </w:r>
          </w:p>
        </w:tc>
        <w:tc>
          <w:tcPr>
            <w:gridSpan w:val="2"/>
            <w:shd w:fill="ffc000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 COURS D’ACQUISITION</w:t>
            </w:r>
          </w:p>
        </w:tc>
        <w:tc>
          <w:tcPr>
            <w:shd w:fill="00b050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ACQUIS</w:t>
            </w:r>
          </w:p>
        </w:tc>
      </w:tr>
      <w:tr>
        <w:trPr>
          <w:cantSplit w:val="0"/>
          <w:trHeight w:val="1594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NON réalisée</w:t>
            </w:r>
          </w:p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L’action n’a pas été réalisée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NON adaptée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L’action est inadaptée à la situation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color w:val="ffc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u w:val="single"/>
                <w:rtl w:val="0"/>
              </w:rPr>
              <w:t xml:space="preserve">INEFFICACE</w:t>
            </w:r>
          </w:p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L’action est adaptée à la situation mais n’est pas totalement efficace sans correction de l’apprenant durant la MSP</w:t>
            </w:r>
          </w:p>
        </w:tc>
        <w:tc>
          <w:tcPr>
            <w:tcBorders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color w:val="00b05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sz w:val="24"/>
                <w:szCs w:val="24"/>
                <w:u w:val="single"/>
                <w:rtl w:val="0"/>
              </w:rPr>
              <w:t xml:space="preserve">EFFICACE et adaptée</w:t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L’action est adap</w:t>
            </w:r>
            <w:r w:rsidDel="00000000" w:rsidR="00000000" w:rsidRPr="00000000">
              <w:rPr>
                <w:shd w:fill="d9d9d9" w:val="clear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ée à la situation et efficace</w:t>
            </w:r>
          </w:p>
        </w:tc>
      </w:tr>
    </w:tbl>
    <w:p w:rsidR="00000000" w:rsidDel="00000000" w:rsidP="00000000" w:rsidRDefault="00000000" w:rsidRPr="00000000" w14:paraId="0000008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0.59055118110223" w:top="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77F47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877F4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lledutableau1" w:customStyle="1">
    <w:name w:val="Grille du tableau1"/>
    <w:basedOn w:val="TableauNormal"/>
    <w:next w:val="Grilledutableau"/>
    <w:uiPriority w:val="59"/>
    <w:rsid w:val="00E577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arquedecommentaire">
    <w:name w:val="annotation reference"/>
    <w:basedOn w:val="Policepardfaut"/>
    <w:uiPriority w:val="99"/>
    <w:semiHidden w:val="1"/>
    <w:unhideWhenUsed w:val="1"/>
    <w:rsid w:val="00B807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 w:val="1"/>
    <w:rsid w:val="00B80715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B807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B80715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B80715"/>
    <w:rPr>
      <w:b w:val="1"/>
      <w:bCs w:val="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B8071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B80715"/>
    <w:rPr>
      <w:rFonts w:ascii="Segoe UI" w:cs="Segoe UI" w:hAnsi="Segoe UI"/>
      <w:sz w:val="18"/>
      <w:szCs w:val="18"/>
    </w:rPr>
  </w:style>
  <w:style w:type="paragraph" w:styleId="Paragraphedeliste">
    <w:name w:val="List Paragraph"/>
    <w:basedOn w:val="Normal"/>
    <w:uiPriority w:val="34"/>
    <w:qFormat w:val="1"/>
    <w:rsid w:val="001B5C8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dQDp+4IiA5DsW7I3ed6ZvvfWw==">CgMxLjA4AHIhMVRuLVdPSm9Rb19hWWlMYUZJZXpTRDIzWGhTRTF1alFE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2020-04-28T14:06:00Z</dcterms:created>
  <dc:creator>WAILLY Mathieu</dc:creator>
</cp:coreProperties>
</file>